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Finance Reports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Balance Sheet 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object w:dxaOrig="7560" w:dyaOrig="5040">
          <v:rect xmlns:o="urn:schemas-microsoft-com:office:office" xmlns:v="urn:schemas-microsoft-com:vml" id="rectole0000000000" style="width:378.000000pt;height:252.0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Income Statement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object w:dxaOrig="8693" w:dyaOrig="7236">
          <v:rect xmlns:o="urn:schemas-microsoft-com:office:office" xmlns:v="urn:schemas-microsoft-com:vml" id="rectole0000000001" style="width:434.650000pt;height:361.80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Notes:</w:t>
      </w:r>
    </w:p>
    <w:p>
      <w:pPr>
        <w:numPr>
          <w:ilvl w:val="0"/>
          <w:numId w:val="2"/>
        </w:numPr>
        <w:spacing w:before="0" w:after="160" w:line="259"/>
        <w:ind w:right="0" w:left="615" w:hanging="615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$11.9k$12k raised through donations</w:t>
      </w:r>
    </w:p>
    <w:p>
      <w:pPr>
        <w:numPr>
          <w:ilvl w:val="0"/>
          <w:numId w:val="2"/>
        </w:numPr>
        <w:spacing w:before="0" w:after="160" w:line="259"/>
        <w:ind w:right="0" w:left="615" w:hanging="615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$10.0k raised through events (minus cost of events so about $8k)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trivia raises around $2.7k and the dinner is around $3.8k</w:t>
      </w:r>
    </w:p>
    <w:p>
      <w:pPr>
        <w:numPr>
          <w:ilvl w:val="0"/>
          <w:numId w:val="2"/>
        </w:numPr>
        <w:spacing w:before="0" w:after="160" w:line="259"/>
        <w:ind w:right="0" w:left="615" w:hanging="615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Contributed over $20k towards the ongoing education of children in Kahungwe</w:t>
      </w:r>
    </w:p>
    <w:p>
      <w:pPr>
        <w:numPr>
          <w:ilvl w:val="0"/>
          <w:numId w:val="2"/>
        </w:numPr>
        <w:spacing w:before="0" w:after="160" w:line="259"/>
        <w:ind w:right="0" w:left="615" w:hanging="615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The biggest risk continues to be the high inflation rate and this year the Zimbabwean government approved schools to charge in United States Currency (USD$)</w:t>
      </w:r>
    </w:p>
    <w:p>
      <w:pPr>
        <w:numPr>
          <w:ilvl w:val="0"/>
          <w:numId w:val="2"/>
        </w:numPr>
        <w:spacing w:before="0" w:after="160" w:line="259"/>
        <w:ind w:right="0" w:left="615" w:hanging="615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Exchange rate movement was responsible for almost a 25% raise in expenses compared to last financial year.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num w:numId="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media/image0.wmf" Id="docRId1" Type="http://schemas.openxmlformats.org/officeDocument/2006/relationships/image" /><Relationship Target="media/image1.wmf" Id="docRId3" Type="http://schemas.openxmlformats.org/officeDocument/2006/relationships/image" /><Relationship Target="styles.xml" Id="docRId5" Type="http://schemas.openxmlformats.org/officeDocument/2006/relationships/styles" /><Relationship Target="embeddings/oleObject0.bin" Id="docRId0" Type="http://schemas.openxmlformats.org/officeDocument/2006/relationships/oleObject" /><Relationship Target="embeddings/oleObject1.bin" Id="docRId2" Type="http://schemas.openxmlformats.org/officeDocument/2006/relationships/oleObject" /><Relationship Target="numbering.xml" Id="docRId4" Type="http://schemas.openxmlformats.org/officeDocument/2006/relationships/numbering" /></Relationships>
</file>